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8C41" w14:textId="1E67A51F" w:rsidR="00F54633" w:rsidRDefault="00AD5BE0" w:rsidP="00F54633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r w:rsidR="008F1BD4">
        <w:rPr>
          <w:rFonts w:ascii="Calibri" w:hAnsi="Calibri" w:cs="Calibri"/>
        </w:rPr>
        <w:t>9</w:t>
      </w:r>
    </w:p>
    <w:p w14:paraId="6D2C5322" w14:textId="2D7AA618" w:rsidR="00AD5BE0" w:rsidRPr="00AD5BE0" w:rsidRDefault="00AD5BE0" w:rsidP="00F54633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Regulaminu naboru wniosków o przyznanie pomocy w ramach </w:t>
      </w:r>
      <w:r w:rsidR="00F54633">
        <w:rPr>
          <w:rFonts w:ascii="Calibri" w:hAnsi="Calibri" w:cs="Calibri"/>
        </w:rPr>
        <w:br/>
      </w:r>
      <w:r>
        <w:rPr>
          <w:rFonts w:ascii="Calibri" w:hAnsi="Calibri" w:cs="Calibri"/>
        </w:rPr>
        <w:t>Planu Strategicznego dla Wspólnej Polityki Rolnej na lata 2023-2027</w:t>
      </w:r>
      <w:r w:rsidR="00F5463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dla Interwencji 13.1 - komponent Wdrażanie LSR </w:t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4115663B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</w:t>
            </w:r>
            <w:r w:rsidR="007E0E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Start</w:t>
            </w:r>
            <w:r w:rsidR="007C552F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</w:t>
            </w:r>
            <w:r w:rsidR="007E0E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GA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) wynika konieczność załączenia dokumentu.</w:t>
            </w:r>
          </w:p>
          <w:p w14:paraId="1D8E7CB4" w14:textId="26240EAD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</w:t>
            </w:r>
            <w:r w:rsidR="007E0E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Start GA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5E3F" w14:textId="77777777" w:rsidR="009D0398" w:rsidRDefault="009D0398">
      <w:pPr>
        <w:spacing w:after="0"/>
      </w:pPr>
      <w:r>
        <w:separator/>
      </w:r>
    </w:p>
  </w:endnote>
  <w:endnote w:type="continuationSeparator" w:id="0">
    <w:p w14:paraId="7BC5B78B" w14:textId="77777777" w:rsidR="009D0398" w:rsidRDefault="009D03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38A9" w14:textId="77777777" w:rsidR="009D0398" w:rsidRDefault="009D0398">
      <w:pPr>
        <w:spacing w:after="0"/>
      </w:pPr>
      <w:r>
        <w:separator/>
      </w:r>
    </w:p>
  </w:footnote>
  <w:footnote w:type="continuationSeparator" w:id="0">
    <w:p w14:paraId="068A3AEE" w14:textId="77777777" w:rsidR="009D0398" w:rsidRDefault="009D03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1D41C9"/>
    <w:rsid w:val="00380AD2"/>
    <w:rsid w:val="003C27B7"/>
    <w:rsid w:val="00505328"/>
    <w:rsid w:val="005638CD"/>
    <w:rsid w:val="00590ADE"/>
    <w:rsid w:val="005B25E8"/>
    <w:rsid w:val="00621E2D"/>
    <w:rsid w:val="007C552F"/>
    <w:rsid w:val="007E0E90"/>
    <w:rsid w:val="008520C4"/>
    <w:rsid w:val="00861414"/>
    <w:rsid w:val="008D23D5"/>
    <w:rsid w:val="008F1BD4"/>
    <w:rsid w:val="009D0398"/>
    <w:rsid w:val="00AB19C0"/>
    <w:rsid w:val="00AD5BE0"/>
    <w:rsid w:val="00BC3827"/>
    <w:rsid w:val="00C70A07"/>
    <w:rsid w:val="00CE47E3"/>
    <w:rsid w:val="00D16D0D"/>
    <w:rsid w:val="00E33607"/>
    <w:rsid w:val="00E65BE0"/>
    <w:rsid w:val="00E93AB9"/>
    <w:rsid w:val="00F274E7"/>
    <w:rsid w:val="00F510DF"/>
    <w:rsid w:val="00F54633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7230</Characters>
  <Application>Microsoft Office Word</Application>
  <DocSecurity>0</DocSecurity>
  <Lines>60</Lines>
  <Paragraphs>16</Paragraphs>
  <ScaleCrop>false</ScaleCrop>
  <Company>ARiMR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eliza.grzeszczuk</cp:lastModifiedBy>
  <cp:revision>7</cp:revision>
  <dcterms:created xsi:type="dcterms:W3CDTF">2025-06-25T11:29:00Z</dcterms:created>
  <dcterms:modified xsi:type="dcterms:W3CDTF">2026-02-20T11:03:00Z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